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3" w:rsidRDefault="00481FB3" w:rsidP="00481FB3">
      <w:pPr>
        <w:spacing w:after="0" w:line="21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развитие педагога</w:t>
      </w:r>
    </w:p>
    <w:p w:rsidR="00481FB3" w:rsidRDefault="00481FB3" w:rsidP="00481FB3">
      <w:pPr>
        <w:spacing w:after="0" w:line="21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FB3" w:rsidRPr="00481FB3" w:rsidRDefault="00481FB3" w:rsidP="00481FB3">
      <w:pPr>
        <w:spacing w:after="0" w:line="21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Федерального образовательного стандарта дошкольного образования и Профессионального стандарта педагога предъявляют новые требования к организации и содержанию дошкольного образования, к профессиональной квалификации педагогических работников, ставит перед ними новые, более сложные задачи. Увеличение и усложнение функций педагогических кадров в условиях перехода на стандарт дошкольного образования требуют постоянного профессионального развития педагогов.</w:t>
      </w:r>
    </w:p>
    <w:p w:rsidR="00481FB3" w:rsidRPr="00481FB3" w:rsidRDefault="00481FB3" w:rsidP="00481F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развитие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 любого специалиста основывается на диалектическом принципе </w:t>
      </w:r>
      <w:r w:rsidRPr="00481FB3">
        <w:rPr>
          <w:rFonts w:ascii="Times New Roman" w:eastAsia="Times New Roman" w:hAnsi="Times New Roman" w:cs="Times New Roman"/>
          <w:i/>
          <w:iCs/>
          <w:sz w:val="21"/>
          <w:lang w:eastAsia="ru-RU"/>
        </w:rPr>
        <w:t xml:space="preserve">«от простого к более </w:t>
      </w:r>
      <w:proofErr w:type="gramStart"/>
      <w:r w:rsidRPr="00481FB3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сложному</w:t>
      </w:r>
      <w:proofErr w:type="gramEnd"/>
      <w:r w:rsidRPr="00481FB3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»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  <w:r w:rsidRPr="00481FB3">
        <w:rPr>
          <w:rFonts w:ascii="Times New Roman" w:eastAsia="Times New Roman" w:hAnsi="Times New Roman" w:cs="Times New Roman"/>
          <w:sz w:val="21"/>
          <w:lang w:eastAsia="ru-RU"/>
        </w:rPr>
        <w:t>Управление профессиональным развитием педагогов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представляет собой систему, </w:t>
      </w:r>
      <w:r w:rsidRPr="00481FB3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основными подсистемами которой являются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: деловая карьера; обучение персонала; мотивация и стимулирование; мониторинг </w:t>
      </w:r>
      <w:r w:rsidRPr="00481FB3">
        <w:rPr>
          <w:rFonts w:ascii="Times New Roman" w:eastAsia="Times New Roman" w:hAnsi="Times New Roman" w:cs="Times New Roman"/>
          <w:sz w:val="21"/>
          <w:lang w:eastAsia="ru-RU"/>
        </w:rPr>
        <w:t>развития и аттестация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; ресурсное обеспечение </w:t>
      </w:r>
      <w:r w:rsidRPr="00481FB3">
        <w:rPr>
          <w:rFonts w:ascii="Times New Roman" w:eastAsia="Times New Roman" w:hAnsi="Times New Roman" w:cs="Times New Roman"/>
          <w:sz w:val="21"/>
          <w:lang w:eastAsia="ru-RU"/>
        </w:rPr>
        <w:t>профессионального развития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; </w:t>
      </w:r>
      <w:r w:rsidRPr="00481FB3">
        <w:rPr>
          <w:rFonts w:ascii="Times New Roman" w:eastAsia="Times New Roman" w:hAnsi="Times New Roman" w:cs="Times New Roman"/>
          <w:sz w:val="21"/>
          <w:lang w:eastAsia="ru-RU"/>
        </w:rPr>
        <w:t>управление саморазвитием работника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81FB3" w:rsidRPr="00481FB3" w:rsidRDefault="00481FB3" w:rsidP="00481F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МКДОУ создан работоспособный педагогический коллектив, состоящий из 5 воспитателей и 1 музыкального руководителя.</w:t>
      </w:r>
    </w:p>
    <w:p w:rsidR="00481FB3" w:rsidRPr="00481FB3" w:rsidRDefault="00481FB3" w:rsidP="00481F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 педагогов: 5высшее, 1 </w:t>
      </w:r>
      <w:proofErr w:type="spellStart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средне-специальное</w:t>
      </w:r>
      <w:proofErr w:type="spellEnd"/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481FB3" w:rsidRDefault="00481FB3" w:rsidP="00481F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ходе аналитической деятельности были сделаны следующие выводы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: коллектив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 достаточно стабилен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 последние 3 года сохранялась тенденция </w:t>
      </w:r>
      <w:r w:rsidRPr="00481F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«омоложения»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81FB3" w:rsidRPr="00481FB3" w:rsidRDefault="00481FB3" w:rsidP="00481F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ходе анализа были выявлены проблемы</w:t>
      </w:r>
      <w:r w:rsidRPr="00481FB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81FB3" w:rsidRPr="00481FB3" w:rsidRDefault="00481FB3" w:rsidP="00481F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низкий уровень компетентности новых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 в вопросах нормативно – правового обеспечения ФГОС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; снижение активности части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– </w:t>
      </w:r>
      <w:proofErr w:type="spellStart"/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стажистов</w:t>
      </w:r>
      <w:proofErr w:type="spellEnd"/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достаточно высоком уровне компетентности - проявление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  <w:proofErr w:type="spellStart"/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стогнации</w:t>
      </w:r>
      <w:proofErr w:type="spellEnd"/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застоя.</w:t>
      </w:r>
    </w:p>
    <w:p w:rsidR="00481FB3" w:rsidRPr="00481FB3" w:rsidRDefault="00481FB3" w:rsidP="00481F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решения данных проблем спланировали систему определенных действий и мероприятий, которые направлены на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развитие педагогов ДОУ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81FB3" w:rsidRPr="00481FB3" w:rsidRDefault="00481FB3" w:rsidP="00481F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Наметили направления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развития педагога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481FB3" w:rsidRPr="00481FB3" w:rsidRDefault="00481FB3" w:rsidP="00481FB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достижения цели поставлены следующие задачи</w:t>
      </w:r>
      <w:r w:rsidRPr="00481F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81FB3" w:rsidRPr="00481FB3" w:rsidRDefault="00481FB3" w:rsidP="00481FB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 уровня теоретической подготовки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2. Организация работы по изучению и реализации новых образовательных стандартов и программ.</w:t>
      </w:r>
    </w:p>
    <w:p w:rsidR="00481FB3" w:rsidRPr="00481FB3" w:rsidRDefault="00481FB3" w:rsidP="00481FB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3. Овладение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педагогами инновационными методиками и внедрение их в педагогическую деятельность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Достижение более высоких результатов в воспитании, обучении и развитии детей дошкольного возраста.</w:t>
      </w:r>
    </w:p>
    <w:p w:rsidR="00481FB3" w:rsidRPr="00481FB3" w:rsidRDefault="00481FB3" w:rsidP="00481FB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5. Способствовать раскрытию творческого потенциала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481FB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FB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FB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B3" w:rsidRPr="00481FB3" w:rsidRDefault="00481FB3" w:rsidP="00481FB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 Методы и приемы</w:t>
      </w:r>
    </w:p>
    <w:p w:rsidR="00481FB3" w:rsidRPr="00481FB3" w:rsidRDefault="00481FB3" w:rsidP="00481FB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-дистанционное </w:t>
      </w:r>
      <w:proofErr w:type="gramStart"/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интересующей теме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-мозговой штурм;</w:t>
      </w:r>
    </w:p>
    <w:p w:rsidR="00481FB3" w:rsidRPr="00481FB3" w:rsidRDefault="00481FB3" w:rsidP="00481FB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-педагогический совет </w:t>
      </w:r>
      <w:r w:rsidRPr="00481F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(традиционный / нетрадиционный)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-семинары;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к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онсультации;</w:t>
      </w:r>
    </w:p>
    <w:p w:rsidR="00481FB3" w:rsidRPr="00481FB3" w:rsidRDefault="00481FB3" w:rsidP="00481FB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к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оллективный просмотр </w:t>
      </w:r>
      <w:r w:rsidRPr="0048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деятельности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-дискуссии;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-деловая игра;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ебинары</w:t>
      </w:r>
      <w:proofErr w:type="spellEnd"/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портфолио</w:t>
      </w:r>
      <w:proofErr w:type="spellEnd"/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-тренинг;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-смотры-конкурсы.</w:t>
      </w:r>
    </w:p>
    <w:p w:rsidR="00481FB3" w:rsidRPr="00481FB3" w:rsidRDefault="00481FB3" w:rsidP="00481FB3">
      <w:pPr>
        <w:spacing w:before="147" w:after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-консультации;</w:t>
      </w:r>
    </w:p>
    <w:p w:rsidR="00481FB3" w:rsidRPr="00481FB3" w:rsidRDefault="00481FB3" w:rsidP="00481FB3">
      <w:pPr>
        <w:spacing w:before="147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FB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самоанализ</w:t>
      </w:r>
    </w:p>
    <w:sectPr w:rsidR="00481FB3" w:rsidRPr="00481FB3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7A1"/>
    <w:multiLevelType w:val="multilevel"/>
    <w:tmpl w:val="804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B3"/>
    <w:rsid w:val="00481FB3"/>
    <w:rsid w:val="00B10FAE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FB3"/>
    <w:rPr>
      <w:b/>
      <w:bCs/>
    </w:rPr>
  </w:style>
  <w:style w:type="character" w:styleId="a5">
    <w:name w:val="Emphasis"/>
    <w:basedOn w:val="a0"/>
    <w:uiPriority w:val="20"/>
    <w:qFormat/>
    <w:rsid w:val="00481FB3"/>
    <w:rPr>
      <w:i/>
      <w:iCs/>
    </w:rPr>
  </w:style>
  <w:style w:type="character" w:styleId="a6">
    <w:name w:val="Hyperlink"/>
    <w:basedOn w:val="a0"/>
    <w:uiPriority w:val="99"/>
    <w:semiHidden/>
    <w:unhideWhenUsed/>
    <w:rsid w:val="00481FB3"/>
    <w:rPr>
      <w:color w:val="0000FF"/>
      <w:u w:val="single"/>
    </w:rPr>
  </w:style>
  <w:style w:type="paragraph" w:customStyle="1" w:styleId="numb">
    <w:name w:val="numb"/>
    <w:basedOn w:val="a"/>
    <w:rsid w:val="0048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48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1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1F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1F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1F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663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28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574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51329640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940138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809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150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420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475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54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9720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425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846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183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37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08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12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495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810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215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496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4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52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1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109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37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4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779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40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79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413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65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2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19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35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76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09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26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75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95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88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41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45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00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61421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0823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448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5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3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794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66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532183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841451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35896445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8841650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504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91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622029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2377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2022-11-28T11:29:00Z</dcterms:created>
  <dcterms:modified xsi:type="dcterms:W3CDTF">2022-11-28T11:38:00Z</dcterms:modified>
</cp:coreProperties>
</file>