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99" w:rsidRPr="00D25E99" w:rsidRDefault="00D25E99" w:rsidP="00D25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D96EF"/>
          <w:kern w:val="36"/>
          <w:sz w:val="48"/>
          <w:szCs w:val="48"/>
          <w:lang w:eastAsia="ru-RU"/>
        </w:rPr>
      </w:pPr>
      <w:r w:rsidRPr="00D25E99">
        <w:rPr>
          <w:rFonts w:ascii="Times New Roman" w:eastAsia="Times New Roman" w:hAnsi="Times New Roman" w:cs="Times New Roman"/>
          <w:color w:val="3D96EF"/>
          <w:kern w:val="36"/>
          <w:sz w:val="48"/>
          <w:szCs w:val="48"/>
          <w:lang w:eastAsia="ru-RU"/>
        </w:rPr>
        <w:t xml:space="preserve">История </w:t>
      </w:r>
      <w:proofErr w:type="spellStart"/>
      <w:r w:rsidRPr="00D25E99">
        <w:rPr>
          <w:rFonts w:ascii="Times New Roman" w:eastAsia="Times New Roman" w:hAnsi="Times New Roman" w:cs="Times New Roman"/>
          <w:color w:val="3D96EF"/>
          <w:kern w:val="36"/>
          <w:sz w:val="48"/>
          <w:szCs w:val="48"/>
          <w:lang w:eastAsia="ru-RU"/>
        </w:rPr>
        <w:t>РЕДЖИО-педагогики</w:t>
      </w:r>
      <w:proofErr w:type="spellEnd"/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D25E9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D25E9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1C1C1C"/>
          <w:sz w:val="27"/>
          <w:szCs w:val="27"/>
          <w:lang w:eastAsia="ru-RU"/>
        </w:rPr>
        <w:drawing>
          <wp:inline distT="0" distB="0" distL="0" distR="0">
            <wp:extent cx="5940425" cy="3046372"/>
            <wp:effectExtent l="19050" t="0" r="3175" b="0"/>
            <wp:docPr id="1" name="Рисунок 1" descr="C:\Users\SUPER\Download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Download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99" w:rsidRPr="00D25E99" w:rsidRDefault="00D25E99" w:rsidP="00D25E99">
      <w:pPr>
        <w:spacing w:after="0" w:line="240" w:lineRule="auto"/>
        <w:ind w:left="120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D25E9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</w:p>
    <w:p w:rsidR="00D25E99" w:rsidRPr="00D25E99" w:rsidRDefault="00D25E99" w:rsidP="00D25E9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D25E9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36"/>
          <w:szCs w:val="36"/>
          <w:lang w:eastAsia="ru-RU"/>
        </w:rPr>
      </w:pPr>
      <w:r w:rsidRPr="00D25E99">
        <w:rPr>
          <w:rFonts w:ascii="Times New Roman" w:eastAsia="Times New Roman" w:hAnsi="Times New Roman" w:cs="Times New Roman"/>
          <w:b/>
          <w:color w:val="1C1C1C"/>
          <w:kern w:val="36"/>
          <w:sz w:val="36"/>
          <w:szCs w:val="36"/>
          <w:lang w:eastAsia="ru-RU"/>
        </w:rPr>
        <w:t xml:space="preserve">История </w:t>
      </w:r>
      <w:proofErr w:type="spellStart"/>
      <w:r w:rsidRPr="00D25E99">
        <w:rPr>
          <w:rFonts w:ascii="Times New Roman" w:eastAsia="Times New Roman" w:hAnsi="Times New Roman" w:cs="Times New Roman"/>
          <w:b/>
          <w:color w:val="1C1C1C"/>
          <w:kern w:val="36"/>
          <w:sz w:val="36"/>
          <w:szCs w:val="36"/>
          <w:lang w:eastAsia="ru-RU"/>
        </w:rPr>
        <w:t>реджио-педагогики</w:t>
      </w:r>
      <w:proofErr w:type="spellEnd"/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36"/>
          <w:szCs w:val="36"/>
          <w:lang w:eastAsia="ru-RU"/>
        </w:rPr>
      </w:pPr>
      <w:r w:rsidRPr="00D25E99">
        <w:rPr>
          <w:rFonts w:ascii="Times New Roman" w:eastAsia="Times New Roman" w:hAnsi="Times New Roman" w:cs="Times New Roman"/>
          <w:b/>
          <w:color w:val="1C1C1C"/>
          <w:sz w:val="36"/>
          <w:szCs w:val="36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Создатель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реджио-педагогики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– итальянский педагог и психолог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Лорис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Малагуцци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(1920–1994). Он вырос в небольшом городе на севере Италии, который позже стал местом его педагогических экспериментов –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Реджио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Эмилия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. В военные годы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Малагуцци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работает в школе, а позже, получив ученую степень по педагогике, в муниципальной психологической медицинской консультации для детей с ограниченными возможностями. А в начале шестидесятых вместе с администрацией и активными жителями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Реджио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Эмилии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начинает создание уникальной для своего времени сети детских дошкольных учреждений для детей от трех до шести лет. Среди тех, кто повлиял на взгляды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Малагуцци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, были его знаменитая соотечественница Мария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Монтессори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и выдающийся советский психолог Лев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Выготский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proofErr w:type="gram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Новые дошкольные учреждения имели подчеркнуто светский характер и статус муниципальных (большинство учебных </w:t>
      </w: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lastRenderedPageBreak/>
        <w:t>заведений для дошкольников в Италии в то время были либо католическими,</w:t>
      </w:r>
      <w:proofErr w:type="gramEnd"/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либо частными). Финансирование состояло из бюджетных средств и платы, которую вносили родители (ее размер зависел от доходов семьи). Несмотря на это, мест не хватало. Детей принимали по конкурсу, делая исключение для детей-инвалидов и детей из неполных семей: для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Малагуцци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и его сторонников была очень важна идея безусловного права ребенка на воспитание и образование – независимо от его происхождения, социального статуса семьи или каких-то физических ограничений.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В 1970 году по инициативе работающих горожанок появились и учреждения для детей младшего возраста – в них принимали с трехмесячного возраста. А в 1991 году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Newsweek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назвала подход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Малагуцци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и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Реджио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Эмилии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лучшим в мире. Педагогическая практика начинает использоваться в разных странах и в России. А на родине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реджио-педагогики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proofErr w:type="gram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созданы</w:t>
      </w:r>
      <w:proofErr w:type="gram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фонд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Reggio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Children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и Международный центр имени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Лориса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Малагуцци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  <w:t>У ребенка сто языков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Малагуцци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не разработал конкретных методик работы с детьми, его подход – это скорее философия. Ярко и лаконично он выразил ее в своем знаменитом стихотворении – своего рода педагогической декларации. «У ребенка сто языков», – говорится в ней. Ребенок – не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tabula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rasa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, не пустой сосуд и тем более не что-то, что надо переделать. Способы восприятия, познания, самовыражения, доступные ребенку, бесконечно разнообразны. Но обычная педагогика не стремится раскрыть этот потенциал: «У ребенка сто языков, но у него крадут девяносто девять». Это разнообразие не признается в мире взрослых, которые хотят сделать из ребенка лишь еще одно подобие самих себя, лишить его того, что в нем заложено. «Школа и культура отделяют голову от тела», то есть учат мыслить и чувствовать в узких заданных рамках. Даже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«любить и удивляться» ребенка учат по расписанию.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lastRenderedPageBreak/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Чтобы этого избежать,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реджио-педагогика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предлагает помогать ребенку в его развитии, а не подгонять его под общие для всех требования.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  <w:t>Педагог – это помощник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Это почти партнерство: педагог относится к маленькому человеку со вниманием и уважением, поощряет его задавать вопросы и не спешит предлагать готовые ответы, побуждая размышлять и фантазировать.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Учебных планов в этих детских садах нет: все дети разные, а значит, написать такой план не получится. Обучающая помощь педагога должна определяться сегодняшними интересами и потребностями каждого ребенка. Объектом совместного изучения в детских садах становятся природные и социальные явления, предметы, созданные человеком и т. д. Едва ли не любая ситуация может быть педагогической, то есть давать повод к познанию, размышлению и поиску.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Такой подход требует от педагога постоянного профессионального развития, и на это сотрудникам детских садов отводят специальное время. Воспитатели вместе обсуждают происходящее, обмениваются опытом с коллегами, в том числе из других городов.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  <w:t>Научить может даже мусор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b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Из этого принципа вытекает еще одна особенность.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Реджи</w:t>
      </w:r>
      <w:proofErr w:type="gram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о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-</w:t>
      </w:r>
      <w:proofErr w:type="gram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педагогика большое значение придает обучающим возможностям среды, которая окружает ребенка. Группы детских садов называют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третьим учителем. Чтобы ребенок проявил интерес к природе, технике или искусству, у него должна быть такая возможность. </w:t>
      </w:r>
      <w:proofErr w:type="gram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Поэтому в группах можно увидеть самые разные инструменты и </w:t>
      </w: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lastRenderedPageBreak/>
        <w:t>материалы: краски, глину, песок, разные сорта бумаги, дерево, картон, засушенные растения, семена, карандаши и ручки, нитки, проволоку, пуговицы, ленты, гипс, камни, перья, винтики, фольгу… и даже простой мусор.</w:t>
      </w:r>
      <w:proofErr w:type="gram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Сторонники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реджио-педагогики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считают, что обычные   вещи   могут   научить   ребенка   большему,   чем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«специальные» игрушки. Общими усилиями детей и педагогов все это разнообразие содержится в порядке.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Внимание уделяется и помещениям, в которых находятся дети. Группы должны создавать чувство защищенности, давать возможность для уединения и в то же время – для игр и занятий. В них есть плоскости разного уровня, уголки и домики, шкафчики и ящики, а еще много зеркал. Особая творческая зона называется Мастерская</w:t>
      </w:r>
      <w:proofErr w:type="gram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,</w:t>
      </w:r>
      <w:proofErr w:type="gram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а за все, связанное с творчеством, отвечает отдельный сотрудник. Под присмотром взрослых они могут поработать с микроскопом, фотоаппаратом, ноутбуком, проектором и т. д.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  <w:t>Общение и сотрудничество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Родители не просто «сдают» ребенка педагогам, но и сами проводят время с детьми и участвуют в их занятиях. Дети не сидят в четырех стенах: они ходят в музеи, на экскурсии, приобщаются к происходящему в городе. Большое значение имеет работа в группах: детей учат прислушиваться к мнению других, аргументировать свою позицию и вместе делать общее дело. Само дело, или проект, как правило, возникает спонтанно. Один ребенок находит себе новое интересное занятие и с помощью педагога увлекает других; а иногда детям предлагают вместе решить какую-то практическую проблему, возникшую в детском саду. При этом важен не результат, а процесс, который дает новые возможности для познания и развития.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Default="00D25E99" w:rsidP="00D25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</w:pPr>
    </w:p>
    <w:p w:rsidR="00D25E99" w:rsidRDefault="00D25E99" w:rsidP="00D25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</w:pPr>
    </w:p>
    <w:p w:rsidR="00D25E99" w:rsidRDefault="00D25E99" w:rsidP="00D25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</w:pPr>
    </w:p>
    <w:p w:rsidR="00D25E99" w:rsidRPr="00D25E99" w:rsidRDefault="00D25E99" w:rsidP="00D25E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b/>
          <w:color w:val="1C1C1C"/>
          <w:kern w:val="36"/>
          <w:sz w:val="32"/>
          <w:szCs w:val="32"/>
          <w:lang w:eastAsia="ru-RU"/>
        </w:rPr>
        <w:lastRenderedPageBreak/>
        <w:t>Наблюдение и документация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b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В детских садах, работающих по принципам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реджи</w:t>
      </w:r>
      <w:proofErr w:type="gram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о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-</w:t>
      </w:r>
      <w:proofErr w:type="gram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педагогики, не используются стандартизированные системы контроля. Дети не проходят тестирований, уровень их развития и знаний не оценивается по единым критериям. В то же время все, что происходит на занятиях, подробно документируется: педагоги делают записи, сохраняют детские поделки и рисунки, собирают фото и видео. Это позволяет педагогам, с одной стороны, отслеживать личные результаты каждого ребенка, с другой – постоянно учиться, анализируя собранный материал. По-новому оценить свой опыт, вернуться к нему через некоторое время могут и дети. К тому же важен сам факт записи: дети видят, что взрослые прислушиваются к ним и серьезно относятся к их словам и поступкам.</w:t>
      </w:r>
    </w:p>
    <w:p w:rsidR="00D25E99" w:rsidRPr="00D25E99" w:rsidRDefault="00D25E99" w:rsidP="00D25E99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 </w:t>
      </w:r>
    </w:p>
    <w:p w:rsidR="00D25E99" w:rsidRPr="00D25E99" w:rsidRDefault="00D25E99" w:rsidP="00D25E99">
      <w:pPr>
        <w:spacing w:after="0" w:line="240" w:lineRule="auto"/>
        <w:ind w:left="120"/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</w:pPr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А главное, самые общие принципы 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реджио-педагогики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 xml:space="preserve"> – уважение к ребенку, внимание к его интересам и потребностям разделяет и коллектив детского сада «</w:t>
      </w:r>
      <w:proofErr w:type="spellStart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Матроскин</w:t>
      </w:r>
      <w:proofErr w:type="spellEnd"/>
      <w:r w:rsidRPr="00D25E99">
        <w:rPr>
          <w:rFonts w:ascii="Times New Roman" w:eastAsia="Times New Roman" w:hAnsi="Times New Roman" w:cs="Times New Roman"/>
          <w:color w:val="1C1C1C"/>
          <w:sz w:val="32"/>
          <w:szCs w:val="32"/>
          <w:lang w:eastAsia="ru-RU"/>
        </w:rPr>
        <w:t>».</w:t>
      </w:r>
    </w:p>
    <w:p w:rsidR="00A500AE" w:rsidRPr="00D25E99" w:rsidRDefault="00A500AE">
      <w:pPr>
        <w:rPr>
          <w:rFonts w:ascii="Times New Roman" w:hAnsi="Times New Roman" w:cs="Times New Roman"/>
          <w:sz w:val="32"/>
          <w:szCs w:val="32"/>
        </w:rPr>
      </w:pPr>
    </w:p>
    <w:sectPr w:rsidR="00A500AE" w:rsidRPr="00D25E99" w:rsidSect="00A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99"/>
    <w:rsid w:val="00A500AE"/>
    <w:rsid w:val="00D2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AE"/>
  </w:style>
  <w:style w:type="paragraph" w:styleId="1">
    <w:name w:val="heading 1"/>
    <w:basedOn w:val="a"/>
    <w:link w:val="10"/>
    <w:uiPriority w:val="9"/>
    <w:qFormat/>
    <w:rsid w:val="00D2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cp:lastPrinted>2022-09-26T14:49:00Z</cp:lastPrinted>
  <dcterms:created xsi:type="dcterms:W3CDTF">2022-09-26T14:46:00Z</dcterms:created>
  <dcterms:modified xsi:type="dcterms:W3CDTF">2022-09-26T14:50:00Z</dcterms:modified>
</cp:coreProperties>
</file>